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EFB2" w14:textId="77777777" w:rsidR="009F16F7" w:rsidRPr="00B36BA1" w:rsidRDefault="002A245F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B36BA1">
        <w:rPr>
          <w:rFonts w:asciiTheme="majorHAnsi" w:hAnsiTheme="majorHAnsi"/>
          <w:b/>
          <w:i/>
          <w:sz w:val="28"/>
          <w:szCs w:val="28"/>
          <w:u w:val="single"/>
        </w:rPr>
        <w:t xml:space="preserve">Exercice 1 : </w:t>
      </w:r>
      <w:r w:rsidR="00DF6C5A">
        <w:rPr>
          <w:rFonts w:asciiTheme="majorHAnsi" w:hAnsiTheme="majorHAnsi"/>
          <w:b/>
          <w:i/>
          <w:sz w:val="28"/>
          <w:szCs w:val="28"/>
          <w:u w:val="single"/>
        </w:rPr>
        <w:t>Tête brulée</w:t>
      </w:r>
    </w:p>
    <w:p w14:paraId="4BB578D3" w14:textId="77777777" w:rsidR="002A245F" w:rsidRPr="00B36BA1" w:rsidRDefault="002A245F" w:rsidP="00B36BA1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Au cours du TP</w:t>
      </w:r>
      <w:r w:rsidR="00DF6C5A">
        <w:rPr>
          <w:rFonts w:asciiTheme="majorHAnsi" w:hAnsiTheme="majorHAnsi"/>
          <w:sz w:val="28"/>
          <w:szCs w:val="28"/>
        </w:rPr>
        <w:t>6</w:t>
      </w:r>
      <w:r w:rsidRPr="00B36BA1">
        <w:rPr>
          <w:rFonts w:asciiTheme="majorHAnsi" w:hAnsiTheme="majorHAnsi"/>
          <w:sz w:val="28"/>
          <w:szCs w:val="28"/>
        </w:rPr>
        <w:t xml:space="preserve">, on a préparé une solution de tête brûlée en dissolvant à chaud une tête brûlée dans l'eau, pour obtenir un volume total de 250mL de solution. </w:t>
      </w:r>
      <w:r w:rsidR="00DF6C5A">
        <w:rPr>
          <w:rFonts w:asciiTheme="majorHAnsi" w:hAnsiTheme="majorHAnsi"/>
          <w:sz w:val="28"/>
          <w:szCs w:val="28"/>
        </w:rPr>
        <w:t>On peut réaliser</w:t>
      </w:r>
      <w:r w:rsidRPr="00B36BA1">
        <w:rPr>
          <w:rFonts w:asciiTheme="majorHAnsi" w:hAnsiTheme="majorHAnsi"/>
          <w:sz w:val="28"/>
          <w:szCs w:val="28"/>
        </w:rPr>
        <w:t xml:space="preserve"> le titrage de 10mL de la solution précédente par une solution de soude (Na</w:t>
      </w:r>
      <w:r w:rsidRPr="00B36BA1">
        <w:rPr>
          <w:rFonts w:asciiTheme="majorHAnsi" w:hAnsiTheme="majorHAnsi"/>
          <w:sz w:val="28"/>
          <w:szCs w:val="28"/>
          <w:vertAlign w:val="superscript"/>
        </w:rPr>
        <w:t>+</w:t>
      </w:r>
      <w:r w:rsidRPr="00B36BA1">
        <w:rPr>
          <w:rFonts w:asciiTheme="majorHAnsi" w:hAnsiTheme="majorHAnsi"/>
          <w:sz w:val="28"/>
          <w:szCs w:val="28"/>
        </w:rPr>
        <w:t xml:space="preserve"> + HO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</w:rPr>
        <w:t>) de concentration C</w:t>
      </w:r>
      <w:r w:rsidRPr="00B36BA1">
        <w:rPr>
          <w:rFonts w:asciiTheme="majorHAnsi" w:hAnsiTheme="majorHAnsi"/>
          <w:sz w:val="28"/>
          <w:szCs w:val="28"/>
          <w:vertAlign w:val="subscript"/>
        </w:rPr>
        <w:t>B</w:t>
      </w:r>
      <w:r w:rsidRPr="00B36BA1">
        <w:rPr>
          <w:rFonts w:asciiTheme="majorHAnsi" w:hAnsiTheme="majorHAnsi"/>
          <w:sz w:val="28"/>
          <w:szCs w:val="28"/>
        </w:rPr>
        <w:t xml:space="preserve"> = 0,01 mol.L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  <w:vertAlign w:val="superscript"/>
        </w:rPr>
        <w:t>1</w:t>
      </w:r>
      <w:r w:rsidRPr="00B36BA1">
        <w:rPr>
          <w:rFonts w:asciiTheme="majorHAnsi" w:hAnsiTheme="majorHAnsi"/>
          <w:sz w:val="28"/>
          <w:szCs w:val="28"/>
        </w:rPr>
        <w:t xml:space="preserve">.  Le volume équivalent, repéré par le changement de couleur d'un indicateur coloré, est de </w:t>
      </w:r>
      <w:r w:rsidR="00DF6C5A">
        <w:rPr>
          <w:rFonts w:asciiTheme="majorHAnsi" w:hAnsiTheme="majorHAnsi"/>
          <w:sz w:val="28"/>
          <w:szCs w:val="28"/>
        </w:rPr>
        <w:t>16,8</w:t>
      </w:r>
      <w:r w:rsidRPr="00B36BA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36BA1">
        <w:rPr>
          <w:rFonts w:asciiTheme="majorHAnsi" w:hAnsiTheme="majorHAnsi"/>
          <w:sz w:val="28"/>
          <w:szCs w:val="28"/>
        </w:rPr>
        <w:t>mL</w:t>
      </w:r>
      <w:proofErr w:type="spellEnd"/>
      <w:r w:rsidRPr="00B36BA1">
        <w:rPr>
          <w:rFonts w:asciiTheme="majorHAnsi" w:hAnsiTheme="majorHAnsi"/>
          <w:sz w:val="28"/>
          <w:szCs w:val="28"/>
        </w:rPr>
        <w:t>.</w:t>
      </w:r>
    </w:p>
    <w:p w14:paraId="0BE9057B" w14:textId="77777777" w:rsidR="002A245F" w:rsidRPr="00B36BA1" w:rsidRDefault="002A245F" w:rsidP="00B36BA1">
      <w:pPr>
        <w:jc w:val="both"/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La réaction support du titrage est la réaction entre l'acide citrique (C</w:t>
      </w:r>
      <w:r w:rsidRPr="00B36BA1">
        <w:rPr>
          <w:rFonts w:asciiTheme="majorHAnsi" w:hAnsiTheme="majorHAnsi"/>
          <w:sz w:val="28"/>
          <w:szCs w:val="28"/>
          <w:vertAlign w:val="subscript"/>
        </w:rPr>
        <w:t>6</w:t>
      </w:r>
      <w:r w:rsidRPr="00B36BA1">
        <w:rPr>
          <w:rFonts w:asciiTheme="majorHAnsi" w:hAnsiTheme="majorHAnsi"/>
          <w:sz w:val="28"/>
          <w:szCs w:val="28"/>
        </w:rPr>
        <w:t>H</w:t>
      </w:r>
      <w:r w:rsidRPr="00B36BA1">
        <w:rPr>
          <w:rFonts w:asciiTheme="majorHAnsi" w:hAnsiTheme="majorHAnsi"/>
          <w:sz w:val="28"/>
          <w:szCs w:val="28"/>
          <w:vertAlign w:val="subscript"/>
        </w:rPr>
        <w:t>8</w:t>
      </w:r>
      <w:r w:rsidRPr="00B36BA1">
        <w:rPr>
          <w:rFonts w:asciiTheme="majorHAnsi" w:hAnsiTheme="majorHAnsi"/>
          <w:sz w:val="28"/>
          <w:szCs w:val="28"/>
        </w:rPr>
        <w:t>O</w:t>
      </w:r>
      <w:r w:rsidRPr="00B36BA1">
        <w:rPr>
          <w:rFonts w:asciiTheme="majorHAnsi" w:hAnsiTheme="majorHAnsi"/>
          <w:sz w:val="28"/>
          <w:szCs w:val="28"/>
          <w:vertAlign w:val="subscript"/>
        </w:rPr>
        <w:t>7</w:t>
      </w:r>
      <w:r w:rsidRPr="00B36BA1">
        <w:rPr>
          <w:rFonts w:asciiTheme="majorHAnsi" w:hAnsiTheme="majorHAnsi"/>
          <w:sz w:val="28"/>
          <w:szCs w:val="28"/>
        </w:rPr>
        <w:t>) de la tête brûlée et les ions hydroxyde (HO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</w:rPr>
        <w:t xml:space="preserve">), d'équation : </w:t>
      </w:r>
    </w:p>
    <w:p w14:paraId="0583F676" w14:textId="77777777" w:rsidR="002A245F" w:rsidRPr="00B36BA1" w:rsidRDefault="00000000">
      <w:pPr>
        <w:rPr>
          <w:rFonts w:asciiTheme="majorHAnsi" w:hAnsiTheme="majorHAnsi"/>
          <w:sz w:val="28"/>
          <w:szCs w:val="28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7 (aq)</m:t>
              </m:r>
            </m:sub>
          </m:sSub>
          <m:r>
            <w:rPr>
              <w:rFonts w:ascii="Cambria Math" w:hAnsi="Cambria Math"/>
              <w:sz w:val="28"/>
              <w:szCs w:val="28"/>
              <w:vertAlign w:val="subscript"/>
            </w:rPr>
            <m:t>+3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HO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(aq)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-</m:t>
              </m:r>
            </m:sup>
          </m:sSubSup>
          <m:r>
            <w:rPr>
              <w:rFonts w:ascii="Cambria Math" w:hAnsi="Cambria Math"/>
              <w:sz w:val="28"/>
              <w:szCs w:val="28"/>
              <w:vertAlign w:val="subscript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5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7 (aq)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-</m:t>
              </m:r>
            </m:sup>
          </m:sSubSup>
          <m:r>
            <w:rPr>
              <w:rFonts w:ascii="Cambria Math" w:hAnsi="Cambria Math"/>
              <w:sz w:val="28"/>
              <w:szCs w:val="28"/>
              <w:vertAlign w:val="subscript"/>
            </w:rPr>
            <m:t>+3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vertAlign w:val="subscript"/>
            </w:rPr>
            <m:t>O</m:t>
          </m:r>
        </m:oMath>
      </m:oMathPara>
    </w:p>
    <w:p w14:paraId="3292B7E1" w14:textId="77777777" w:rsidR="00DF6C5A" w:rsidRDefault="00DF6C5A" w:rsidP="002A245F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Dans l'équation précédente, repér</w:t>
      </w:r>
      <w:r>
        <w:rPr>
          <w:rFonts w:asciiTheme="majorHAnsi" w:hAnsiTheme="majorHAnsi"/>
          <w:sz w:val="28"/>
          <w:szCs w:val="28"/>
        </w:rPr>
        <w:t>er</w:t>
      </w:r>
      <w:r w:rsidRPr="00B36BA1">
        <w:rPr>
          <w:rFonts w:asciiTheme="majorHAnsi" w:hAnsiTheme="majorHAnsi"/>
          <w:sz w:val="28"/>
          <w:szCs w:val="28"/>
        </w:rPr>
        <w:t xml:space="preserve"> le réactif titrant et le réactif titré</w:t>
      </w:r>
    </w:p>
    <w:p w14:paraId="41A4F041" w14:textId="77777777" w:rsidR="002A245F" w:rsidRPr="00B36BA1" w:rsidRDefault="002A245F" w:rsidP="002A245F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Ecrire la relation à l'équivalence pour cette réaction de titrage.</w:t>
      </w:r>
    </w:p>
    <w:p w14:paraId="6FA1CC52" w14:textId="77777777" w:rsidR="002A245F" w:rsidRPr="00B36BA1" w:rsidRDefault="002A245F" w:rsidP="002A245F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Déterminer la quantité de matière de soude ajoutée à l'équivalence.</w:t>
      </w:r>
    </w:p>
    <w:p w14:paraId="2D285668" w14:textId="77777777" w:rsidR="002A245F" w:rsidRPr="00B36BA1" w:rsidRDefault="002A245F" w:rsidP="002A245F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En déduire la quantité de matière d'acide citrique contenue dans les 10mL de tête brûlée, puis dans une tête brûlée complète.</w:t>
      </w:r>
    </w:p>
    <w:p w14:paraId="7F87ADEB" w14:textId="77777777" w:rsidR="00B36BA1" w:rsidRDefault="00B36BA1" w:rsidP="002A245F">
      <w:pPr>
        <w:rPr>
          <w:rFonts w:asciiTheme="majorHAnsi" w:hAnsiTheme="majorHAnsi"/>
          <w:b/>
          <w:i/>
          <w:sz w:val="28"/>
          <w:szCs w:val="28"/>
          <w:u w:val="single"/>
        </w:rPr>
      </w:pPr>
    </w:p>
    <w:p w14:paraId="1327FDEB" w14:textId="77777777" w:rsidR="002A245F" w:rsidRPr="00B36BA1" w:rsidRDefault="002A245F" w:rsidP="002A245F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B36BA1">
        <w:rPr>
          <w:rFonts w:asciiTheme="majorHAnsi" w:hAnsiTheme="majorHAnsi"/>
          <w:b/>
          <w:i/>
          <w:sz w:val="28"/>
          <w:szCs w:val="28"/>
          <w:u w:val="single"/>
        </w:rPr>
        <w:t>Exercice 2 : Titrage d'une eau oxygé</w:t>
      </w:r>
      <w:r w:rsidR="00B36BA1" w:rsidRPr="00B36BA1">
        <w:rPr>
          <w:rFonts w:asciiTheme="majorHAnsi" w:hAnsiTheme="majorHAnsi"/>
          <w:b/>
          <w:i/>
          <w:sz w:val="28"/>
          <w:szCs w:val="28"/>
          <w:u w:val="single"/>
        </w:rPr>
        <w:t>n</w:t>
      </w:r>
      <w:r w:rsidRPr="00B36BA1">
        <w:rPr>
          <w:rFonts w:asciiTheme="majorHAnsi" w:hAnsiTheme="majorHAnsi"/>
          <w:b/>
          <w:i/>
          <w:sz w:val="28"/>
          <w:szCs w:val="28"/>
          <w:u w:val="single"/>
        </w:rPr>
        <w:t>ée</w:t>
      </w:r>
    </w:p>
    <w:p w14:paraId="0044E96E" w14:textId="77777777" w:rsidR="006212E9" w:rsidRPr="00B36BA1" w:rsidRDefault="006212E9" w:rsidP="00B36BA1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L'eau oxygénée est une solution antiseptique qui peut être utilisée sur des plaies peut profonde</w:t>
      </w:r>
      <w:r w:rsidR="00B36BA1">
        <w:rPr>
          <w:rFonts w:asciiTheme="majorHAnsi" w:hAnsiTheme="majorHAnsi"/>
          <w:sz w:val="28"/>
          <w:szCs w:val="28"/>
        </w:rPr>
        <w:t>s</w:t>
      </w:r>
      <w:r w:rsidRPr="00B36BA1">
        <w:rPr>
          <w:rFonts w:asciiTheme="majorHAnsi" w:hAnsiTheme="majorHAnsi"/>
          <w:sz w:val="28"/>
          <w:szCs w:val="28"/>
        </w:rPr>
        <w:t>, pour éliminer virus et bactéries. La molécule active dans l'eau oxygénée est le peroxyde d'hydrogène, de formule H</w:t>
      </w:r>
      <w:r w:rsidRPr="00B36BA1">
        <w:rPr>
          <w:rFonts w:asciiTheme="majorHAnsi" w:hAnsiTheme="majorHAnsi"/>
          <w:sz w:val="28"/>
          <w:szCs w:val="28"/>
          <w:vertAlign w:val="subscript"/>
        </w:rPr>
        <w:t>2</w:t>
      </w:r>
      <w:r w:rsidRPr="00B36BA1">
        <w:rPr>
          <w:rFonts w:asciiTheme="majorHAnsi" w:hAnsiTheme="majorHAnsi"/>
          <w:sz w:val="28"/>
          <w:szCs w:val="28"/>
        </w:rPr>
        <w:t>O</w:t>
      </w:r>
      <w:r w:rsidRPr="00B36BA1">
        <w:rPr>
          <w:rFonts w:asciiTheme="majorHAnsi" w:hAnsiTheme="majorHAnsi"/>
          <w:sz w:val="28"/>
          <w:szCs w:val="28"/>
          <w:vertAlign w:val="subscript"/>
        </w:rPr>
        <w:t>2</w:t>
      </w:r>
      <w:r w:rsidRPr="00B36BA1">
        <w:rPr>
          <w:rFonts w:asciiTheme="majorHAnsi" w:hAnsiTheme="majorHAnsi"/>
          <w:sz w:val="28"/>
          <w:szCs w:val="28"/>
        </w:rPr>
        <w:t>. Sur l'étiquette d'un flacon d'eau oxygénée, on peut lire "Composition : Peroxyde d'hydrogène stabilisée 3,00g pour 100mL de solution". On souhaite vérifier cette information par titrage</w:t>
      </w:r>
      <w:r w:rsidR="004B0519">
        <w:rPr>
          <w:rFonts w:asciiTheme="majorHAnsi" w:hAnsiTheme="majorHAnsi"/>
          <w:sz w:val="28"/>
          <w:szCs w:val="28"/>
        </w:rPr>
        <w:t>.</w:t>
      </w:r>
    </w:p>
    <w:p w14:paraId="6EBBD841" w14:textId="77777777" w:rsidR="006212E9" w:rsidRPr="00B36BA1" w:rsidRDefault="006212E9" w:rsidP="004B0519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On commence par diluer la solution commerciale par 10. Puis on réalise le titrage de 20,0mL de solution titrée par une solution de permanganate de potassium (K</w:t>
      </w:r>
      <w:r w:rsidRPr="00B36BA1">
        <w:rPr>
          <w:rFonts w:asciiTheme="majorHAnsi" w:hAnsiTheme="majorHAnsi"/>
          <w:sz w:val="28"/>
          <w:szCs w:val="28"/>
          <w:vertAlign w:val="superscript"/>
        </w:rPr>
        <w:t>+</w:t>
      </w:r>
      <w:r w:rsidRPr="00B36BA1">
        <w:rPr>
          <w:rFonts w:asciiTheme="majorHAnsi" w:hAnsiTheme="majorHAnsi"/>
          <w:sz w:val="28"/>
          <w:szCs w:val="28"/>
        </w:rPr>
        <w:t xml:space="preserve"> + MnO</w:t>
      </w:r>
      <w:r w:rsidRPr="00B36BA1">
        <w:rPr>
          <w:rFonts w:asciiTheme="majorHAnsi" w:hAnsiTheme="majorHAnsi"/>
          <w:sz w:val="28"/>
          <w:szCs w:val="28"/>
          <w:vertAlign w:val="subscript"/>
        </w:rPr>
        <w:t>4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</w:rPr>
        <w:t>) de concentration en quantité de matière C</w:t>
      </w:r>
      <w:r w:rsidRPr="00B36BA1">
        <w:rPr>
          <w:rFonts w:asciiTheme="majorHAnsi" w:hAnsiTheme="majorHAnsi"/>
          <w:sz w:val="28"/>
          <w:szCs w:val="28"/>
          <w:vertAlign w:val="subscript"/>
        </w:rPr>
        <w:t>0</w:t>
      </w:r>
      <w:r w:rsidRPr="00B36BA1">
        <w:rPr>
          <w:rFonts w:asciiTheme="majorHAnsi" w:hAnsiTheme="majorHAnsi"/>
          <w:sz w:val="28"/>
          <w:szCs w:val="28"/>
        </w:rPr>
        <w:t xml:space="preserve"> = 5,00.10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  <w:vertAlign w:val="superscript"/>
        </w:rPr>
        <w:t>2</w:t>
      </w:r>
      <w:r w:rsidRPr="00B36BA1">
        <w:rPr>
          <w:rFonts w:asciiTheme="majorHAnsi" w:hAnsiTheme="majorHAnsi"/>
          <w:sz w:val="28"/>
          <w:szCs w:val="28"/>
        </w:rPr>
        <w:t xml:space="preserve"> mol.L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  <w:vertAlign w:val="superscript"/>
        </w:rPr>
        <w:t>1</w:t>
      </w:r>
      <w:r w:rsidRPr="00B36BA1">
        <w:rPr>
          <w:rFonts w:asciiTheme="majorHAnsi" w:hAnsiTheme="majorHAnsi"/>
          <w:sz w:val="28"/>
          <w:szCs w:val="28"/>
        </w:rPr>
        <w:t>. Le volume obtenu à l'équivalence est de 13,7mL.</w:t>
      </w:r>
      <w:r w:rsidR="002A245F" w:rsidRPr="00B36BA1">
        <w:rPr>
          <w:rFonts w:asciiTheme="majorHAnsi" w:hAnsiTheme="majorHAnsi"/>
          <w:sz w:val="28"/>
          <w:szCs w:val="28"/>
        </w:rPr>
        <w:t xml:space="preserve"> </w:t>
      </w:r>
      <w:r w:rsidRPr="00B36BA1">
        <w:rPr>
          <w:rFonts w:asciiTheme="majorHAnsi" w:hAnsiTheme="majorHAnsi"/>
          <w:sz w:val="28"/>
          <w:szCs w:val="28"/>
        </w:rPr>
        <w:t xml:space="preserve">La réaction support du titrage a pour équation : </w:t>
      </w:r>
    </w:p>
    <w:p w14:paraId="376437C4" w14:textId="77777777" w:rsidR="006212E9" w:rsidRPr="00B36BA1" w:rsidRDefault="006212E9" w:rsidP="002A245F">
      <w:pPr>
        <w:rPr>
          <w:rFonts w:asciiTheme="majorHAnsi" w:hAnsiTheme="majorHAns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 Mn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 (aq)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+ 6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(aq)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+ 5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 (aq)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→ 2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(aq)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2+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+ 8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O + 5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2(g)</m:t>
              </m:r>
            </m:sub>
          </m:sSub>
        </m:oMath>
      </m:oMathPara>
    </w:p>
    <w:p w14:paraId="1ABC2FB3" w14:textId="77777777" w:rsidR="00B36BA1" w:rsidRPr="00B36BA1" w:rsidRDefault="00B36BA1" w:rsidP="006212E9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Dans l'équation précédente, repér</w:t>
      </w:r>
      <w:r w:rsidR="00DF6C5A">
        <w:rPr>
          <w:rFonts w:asciiTheme="majorHAnsi" w:hAnsiTheme="majorHAnsi"/>
          <w:sz w:val="28"/>
          <w:szCs w:val="28"/>
        </w:rPr>
        <w:t>er</w:t>
      </w:r>
      <w:r w:rsidRPr="00B36BA1">
        <w:rPr>
          <w:rFonts w:asciiTheme="majorHAnsi" w:hAnsiTheme="majorHAnsi"/>
          <w:sz w:val="28"/>
          <w:szCs w:val="28"/>
        </w:rPr>
        <w:t xml:space="preserve"> le réactif titrant et le réactif titré</w:t>
      </w:r>
    </w:p>
    <w:p w14:paraId="407EA32B" w14:textId="77777777" w:rsidR="00B36BA1" w:rsidRPr="00B36BA1" w:rsidRDefault="00B36BA1" w:rsidP="006212E9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Ecrire la relation à l'équivalence</w:t>
      </w:r>
    </w:p>
    <w:p w14:paraId="55468ADA" w14:textId="77777777" w:rsidR="00B36BA1" w:rsidRPr="00B36BA1" w:rsidRDefault="00B36BA1" w:rsidP="006212E9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En déduire la quantité de matière de peroxyde d'hydrogène dans la solution titrée</w:t>
      </w:r>
    </w:p>
    <w:p w14:paraId="0E49AC0F" w14:textId="77777777" w:rsidR="00B36BA1" w:rsidRPr="00B36BA1" w:rsidRDefault="00B36BA1" w:rsidP="006212E9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On note C</w:t>
      </w:r>
      <w:r w:rsidRPr="00B36BA1">
        <w:rPr>
          <w:rFonts w:asciiTheme="majorHAnsi" w:hAnsiTheme="majorHAnsi"/>
          <w:sz w:val="28"/>
          <w:szCs w:val="28"/>
          <w:vertAlign w:val="subscript"/>
        </w:rPr>
        <w:t>m</w:t>
      </w:r>
      <w:r w:rsidRPr="00B36BA1">
        <w:rPr>
          <w:rFonts w:asciiTheme="majorHAnsi" w:hAnsiTheme="majorHAnsi"/>
          <w:sz w:val="28"/>
          <w:szCs w:val="28"/>
        </w:rPr>
        <w:t xml:space="preserve"> la concentration en masse de peroxyde d'hydrogène dans la solution commerciale. Calculer C</w:t>
      </w:r>
      <w:r w:rsidRPr="00B36BA1">
        <w:rPr>
          <w:rFonts w:asciiTheme="majorHAnsi" w:hAnsiTheme="majorHAnsi"/>
          <w:sz w:val="28"/>
          <w:szCs w:val="28"/>
          <w:vertAlign w:val="subscript"/>
        </w:rPr>
        <w:t>m</w:t>
      </w:r>
      <w:r w:rsidRPr="00B36BA1">
        <w:rPr>
          <w:rFonts w:asciiTheme="majorHAnsi" w:hAnsiTheme="majorHAnsi"/>
          <w:sz w:val="28"/>
          <w:szCs w:val="28"/>
        </w:rPr>
        <w:t xml:space="preserve"> (Donnée : M(H</w:t>
      </w:r>
      <w:r w:rsidRPr="00B36BA1">
        <w:rPr>
          <w:rFonts w:asciiTheme="majorHAnsi" w:hAnsiTheme="majorHAnsi"/>
          <w:sz w:val="28"/>
          <w:szCs w:val="28"/>
          <w:vertAlign w:val="subscript"/>
        </w:rPr>
        <w:t>2</w:t>
      </w:r>
      <w:r w:rsidRPr="00B36BA1">
        <w:rPr>
          <w:rFonts w:asciiTheme="majorHAnsi" w:hAnsiTheme="majorHAnsi"/>
          <w:sz w:val="28"/>
          <w:szCs w:val="28"/>
        </w:rPr>
        <w:t>O</w:t>
      </w:r>
      <w:r w:rsidRPr="00B36BA1">
        <w:rPr>
          <w:rFonts w:asciiTheme="majorHAnsi" w:hAnsiTheme="majorHAnsi"/>
          <w:sz w:val="28"/>
          <w:szCs w:val="28"/>
          <w:vertAlign w:val="subscript"/>
        </w:rPr>
        <w:t>2</w:t>
      </w:r>
      <w:r w:rsidRPr="00B36BA1">
        <w:rPr>
          <w:rFonts w:asciiTheme="majorHAnsi" w:hAnsiTheme="majorHAnsi"/>
          <w:sz w:val="28"/>
          <w:szCs w:val="28"/>
        </w:rPr>
        <w:t>) = 34 g.mol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  <w:vertAlign w:val="superscript"/>
        </w:rPr>
        <w:t>1</w:t>
      </w:r>
      <w:r w:rsidRPr="00B36BA1">
        <w:rPr>
          <w:rFonts w:asciiTheme="majorHAnsi" w:hAnsiTheme="majorHAnsi"/>
          <w:sz w:val="28"/>
          <w:szCs w:val="28"/>
        </w:rPr>
        <w:t>)</w:t>
      </w:r>
    </w:p>
    <w:p w14:paraId="3B5A6D47" w14:textId="77777777" w:rsidR="00B36BA1" w:rsidRDefault="00B36BA1" w:rsidP="006212E9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36BA1">
        <w:rPr>
          <w:rFonts w:asciiTheme="majorHAnsi" w:hAnsiTheme="majorHAnsi"/>
          <w:sz w:val="28"/>
          <w:szCs w:val="28"/>
        </w:rPr>
        <w:t>L'incertitude sur C</w:t>
      </w:r>
      <w:r w:rsidRPr="00B36BA1">
        <w:rPr>
          <w:rFonts w:asciiTheme="majorHAnsi" w:hAnsiTheme="majorHAnsi"/>
          <w:sz w:val="28"/>
          <w:szCs w:val="28"/>
          <w:vertAlign w:val="subscript"/>
        </w:rPr>
        <w:t>m</w:t>
      </w:r>
      <w:r w:rsidRPr="00B36BA1">
        <w:rPr>
          <w:rFonts w:asciiTheme="majorHAnsi" w:hAnsiTheme="majorHAnsi"/>
          <w:sz w:val="28"/>
          <w:szCs w:val="28"/>
        </w:rPr>
        <w:t xml:space="preserve"> vaut U(C</w:t>
      </w:r>
      <w:r w:rsidRPr="00B36BA1">
        <w:rPr>
          <w:rFonts w:asciiTheme="majorHAnsi" w:hAnsiTheme="majorHAnsi"/>
          <w:sz w:val="28"/>
          <w:szCs w:val="28"/>
          <w:vertAlign w:val="subscript"/>
        </w:rPr>
        <w:t>m</w:t>
      </w:r>
      <w:r w:rsidRPr="00B36BA1">
        <w:rPr>
          <w:rFonts w:asciiTheme="majorHAnsi" w:hAnsiTheme="majorHAnsi"/>
          <w:sz w:val="28"/>
          <w:szCs w:val="28"/>
        </w:rPr>
        <w:t>) = 1,2 g.L</w:t>
      </w:r>
      <w:r w:rsidRPr="00B36BA1">
        <w:rPr>
          <w:rFonts w:asciiTheme="majorHAnsi" w:hAnsiTheme="majorHAnsi" w:cstheme="minorHAnsi"/>
          <w:sz w:val="28"/>
          <w:szCs w:val="28"/>
          <w:vertAlign w:val="superscript"/>
        </w:rPr>
        <w:t>‒</w:t>
      </w:r>
      <w:r w:rsidRPr="00B36BA1">
        <w:rPr>
          <w:rFonts w:asciiTheme="majorHAnsi" w:hAnsiTheme="majorHAnsi"/>
          <w:sz w:val="28"/>
          <w:szCs w:val="28"/>
          <w:vertAlign w:val="superscript"/>
        </w:rPr>
        <w:t>1</w:t>
      </w:r>
      <w:r w:rsidRPr="00B36BA1">
        <w:rPr>
          <w:rFonts w:asciiTheme="majorHAnsi" w:hAnsiTheme="majorHAnsi"/>
          <w:sz w:val="28"/>
          <w:szCs w:val="28"/>
        </w:rPr>
        <w:t xml:space="preserve">. La valeur obtenue est-elle cohérente avec celle affichée sur </w:t>
      </w:r>
      <w:r w:rsidR="00805B93" w:rsidRPr="00B36BA1">
        <w:rPr>
          <w:rFonts w:asciiTheme="majorHAnsi" w:hAnsiTheme="majorHAnsi"/>
          <w:sz w:val="28"/>
          <w:szCs w:val="28"/>
        </w:rPr>
        <w:t>l’étiquette ?</w:t>
      </w:r>
    </w:p>
    <w:p w14:paraId="46FEDEAE" w14:textId="77777777" w:rsidR="00DF6C5A" w:rsidRPr="002A245F" w:rsidRDefault="00DF6C5A" w:rsidP="00DF6C5A"/>
    <w:p w14:paraId="3AB1A6C2" w14:textId="77777777" w:rsidR="00DF6C5A" w:rsidRPr="002A245F" w:rsidRDefault="00DF6C5A" w:rsidP="00805B93"/>
    <w:sectPr w:rsidR="00DF6C5A" w:rsidRPr="002A245F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7E4C"/>
    <w:multiLevelType w:val="hybridMultilevel"/>
    <w:tmpl w:val="5022A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41CA6"/>
    <w:multiLevelType w:val="hybridMultilevel"/>
    <w:tmpl w:val="5022A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400CD"/>
    <w:multiLevelType w:val="hybridMultilevel"/>
    <w:tmpl w:val="5022A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D0550"/>
    <w:multiLevelType w:val="hybridMultilevel"/>
    <w:tmpl w:val="903A7D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F1873"/>
    <w:multiLevelType w:val="hybridMultilevel"/>
    <w:tmpl w:val="903A7D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3201B"/>
    <w:multiLevelType w:val="hybridMultilevel"/>
    <w:tmpl w:val="903A7D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363371">
    <w:abstractNumId w:val="1"/>
  </w:num>
  <w:num w:numId="2" w16cid:durableId="1122455270">
    <w:abstractNumId w:val="4"/>
  </w:num>
  <w:num w:numId="3" w16cid:durableId="1613323231">
    <w:abstractNumId w:val="0"/>
  </w:num>
  <w:num w:numId="4" w16cid:durableId="931085888">
    <w:abstractNumId w:val="5"/>
  </w:num>
  <w:num w:numId="5" w16cid:durableId="1675451563">
    <w:abstractNumId w:val="2"/>
  </w:num>
  <w:num w:numId="6" w16cid:durableId="52560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CAB"/>
    <w:rsid w:val="002A245F"/>
    <w:rsid w:val="004B0519"/>
    <w:rsid w:val="006212E9"/>
    <w:rsid w:val="006829BC"/>
    <w:rsid w:val="007822CA"/>
    <w:rsid w:val="00805B93"/>
    <w:rsid w:val="009F16F7"/>
    <w:rsid w:val="00B36BA1"/>
    <w:rsid w:val="00DB1CAB"/>
    <w:rsid w:val="00DF6C5A"/>
    <w:rsid w:val="00F3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D95B"/>
  <w15:docId w15:val="{DDC5AB8D-E4B9-40B5-B44D-5C3AE6DD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245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4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7</cp:revision>
  <cp:lastPrinted>2025-10-20T12:22:00Z</cp:lastPrinted>
  <dcterms:created xsi:type="dcterms:W3CDTF">2023-11-11T10:07:00Z</dcterms:created>
  <dcterms:modified xsi:type="dcterms:W3CDTF">2025-10-20T12:22:00Z</dcterms:modified>
</cp:coreProperties>
</file>