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F" w:rsidRDefault="0044254F"/>
    <w:p w:rsidR="0044254F" w:rsidRPr="00F07DFE" w:rsidRDefault="0044254F" w:rsidP="0044254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expérimentale : </w:t>
      </w:r>
      <w:r w:rsidR="00C517D7">
        <w:rPr>
          <w:rFonts w:asciiTheme="majorHAnsi" w:hAnsiTheme="majorHAnsi"/>
          <w:b/>
          <w:i/>
          <w:sz w:val="28"/>
          <w:szCs w:val="28"/>
          <w:u w:val="single"/>
        </w:rPr>
        <w:t>Rayonnement thermique et température</w:t>
      </w:r>
    </w:p>
    <w:p w:rsidR="00F07DFE" w:rsidRDefault="00C517D7" w:rsidP="00F07DFE">
      <w:pPr>
        <w:ind w:firstLine="708"/>
        <w:jc w:val="both"/>
        <w:rPr>
          <w:rFonts w:asciiTheme="majorHAnsi" w:hAnsiTheme="majorHAnsi"/>
          <w:i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22452" wp14:editId="1C384B1D">
                <wp:simplePos x="0" y="0"/>
                <wp:positionH relativeFrom="column">
                  <wp:posOffset>-17145</wp:posOffset>
                </wp:positionH>
                <wp:positionV relativeFrom="paragraph">
                  <wp:posOffset>424180</wp:posOffset>
                </wp:positionV>
                <wp:extent cx="1828800" cy="1571625"/>
                <wp:effectExtent l="0" t="0" r="11430" b="285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7DFE" w:rsidRPr="00FC53F6" w:rsidRDefault="00C517D7" w:rsidP="00FC53F6">
                            <w:pPr>
                              <w:spacing w:before="100" w:beforeAutospacing="1" w:after="100" w:afterAutospacing="1"/>
                              <w:ind w:firstLine="708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Alors qu'il est impossible de s'approcher trop près d'une étoile, la température de surface du Soleil, ainsi que 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celle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de nombreuses étoiles dans l'Univers 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sont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 connue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. La détermination de c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es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 température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 a permis de réaliser un classement des étoiles et d'en apprendre plus sur leur cycle de vie. Les protoétoiles sont au tout début de leur formation, 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les étoiles de la séquence principale sont en milieu de vie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les géantes et supergéantes rouges vont bientôt mourir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 et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 xml:space="preserve"> les naines blanches sont des étoiles mor</w:t>
                            </w:r>
                            <w:r w:rsidR="00A6504E">
                              <w:rPr>
                                <w:rFonts w:asciiTheme="majorHAnsi" w:eastAsia="Times New Roman" w:hAnsiTheme="majorHAnsi" w:cs="Times New Roman"/>
                                <w:sz w:val="28"/>
                                <w:szCs w:val="28"/>
                              </w:rPr>
                              <w:t>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.35pt;margin-top:33.4pt;width:2in;height:123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" filled="f" strokeweight=".5pt">
                <v:textbox>
                  <w:txbxContent>
                    <w:p w:rsidR="00F07DFE" w:rsidRPr="00FC53F6" w:rsidRDefault="00C517D7" w:rsidP="00FC53F6">
                      <w:pPr>
                        <w:spacing w:before="100" w:beforeAutospacing="1" w:after="100" w:afterAutospacing="1"/>
                        <w:ind w:firstLine="708"/>
                        <w:jc w:val="both"/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Alors qu'il est impossible de s'approcher trop près d'une étoile, la température de surface du Soleil, ainsi que 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celle 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de nombreuses étoiles dans l'Univers 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sont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 connue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. La détermination de c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es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 température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 a permis de réaliser un classement des étoiles et d'en apprendre plus sur leur cycle de vie. Les protoétoiles sont au tout début de leur formation, 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les étoiles de la séquence principale sont en milieu de vie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les géantes et supergéantes rouges vont bientôt mourir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 et</w:t>
                      </w:r>
                      <w:r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 xml:space="preserve"> les naines blanches sont des étoiles mor</w:t>
                      </w:r>
                      <w:r w:rsidR="00A6504E">
                        <w:rPr>
                          <w:rFonts w:asciiTheme="majorHAnsi" w:eastAsia="Times New Roman" w:hAnsiTheme="majorHAnsi" w:cs="Times New Roman"/>
                          <w:sz w:val="28"/>
                          <w:szCs w:val="28"/>
                        </w:rPr>
                        <w:t>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254F" w:rsidRPr="00F07DFE">
        <w:rPr>
          <w:rFonts w:asciiTheme="majorHAnsi" w:hAnsiTheme="majorHAnsi"/>
          <w:i/>
          <w:sz w:val="28"/>
          <w:szCs w:val="28"/>
        </w:rPr>
        <w:t xml:space="preserve">Matériel : </w:t>
      </w:r>
      <w:r>
        <w:rPr>
          <w:rFonts w:asciiTheme="majorHAnsi" w:hAnsiTheme="majorHAnsi"/>
          <w:i/>
          <w:sz w:val="28"/>
          <w:szCs w:val="28"/>
        </w:rPr>
        <w:t xml:space="preserve">Animation </w:t>
      </w:r>
      <w:proofErr w:type="spellStart"/>
      <w:r>
        <w:rPr>
          <w:rFonts w:asciiTheme="majorHAnsi" w:hAnsiTheme="majorHAnsi"/>
          <w:i/>
          <w:sz w:val="28"/>
          <w:szCs w:val="28"/>
        </w:rPr>
        <w:t>jfnoblet</w:t>
      </w:r>
      <w:proofErr w:type="spellEnd"/>
      <w:r>
        <w:rPr>
          <w:rFonts w:asciiTheme="majorHAnsi" w:hAnsiTheme="majorHAnsi"/>
          <w:i/>
          <w:sz w:val="28"/>
          <w:szCs w:val="28"/>
        </w:rPr>
        <w:t>, logiciel de tableur-grapheur.</w:t>
      </w:r>
    </w:p>
    <w:p w:rsidR="00F07DFE" w:rsidRDefault="00C517D7" w:rsidP="00F07DFE">
      <w:pPr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754380</wp:posOffset>
            </wp:positionH>
            <wp:positionV relativeFrom="paragraph">
              <wp:posOffset>1753235</wp:posOffset>
            </wp:positionV>
            <wp:extent cx="5172075" cy="3448050"/>
            <wp:effectExtent l="0" t="0" r="9525" b="0"/>
            <wp:wrapTight wrapText="bothSides">
              <wp:wrapPolygon edited="0">
                <wp:start x="0" y="0"/>
                <wp:lineTo x="0" y="21481"/>
                <wp:lineTo x="21560" y="21481"/>
                <wp:lineTo x="2156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071" w:rsidRDefault="00722071" w:rsidP="00F07DFE">
      <w:pPr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</w:p>
    <w:p w:rsidR="00722071" w:rsidRPr="00F07DFE" w:rsidRDefault="00722071" w:rsidP="00F07DFE">
      <w:pPr>
        <w:ind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722071" w:rsidRDefault="00722071" w:rsidP="00F07DFE">
      <w:pPr>
        <w:ind w:firstLine="709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F07DFE" w:rsidRDefault="00F07DFE" w:rsidP="00764DD1">
      <w:pPr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597CBC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bookmarkStart w:id="0" w:name="_GoBack"/>
      <w:bookmarkEnd w:id="0"/>
    </w:p>
    <w:p w:rsidR="00597CBC" w:rsidRDefault="00597CBC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597CBC" w:rsidRDefault="00597CBC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E60ADB" w:rsidRPr="00A6504E" w:rsidRDefault="00597CBC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i/>
          <w:sz w:val="28"/>
          <w:szCs w:val="28"/>
          <w:u w:val="single"/>
        </w:rPr>
      </w:pPr>
      <w:r w:rsidRPr="00E60ADB"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>Notion de longueur d'onde :</w:t>
      </w:r>
      <w:r w:rsidRPr="00E60ADB">
        <w:rPr>
          <w:rFonts w:asciiTheme="majorHAnsi" w:eastAsia="Times New Roman" w:hAnsiTheme="majorHAnsi" w:cs="Times New Roman"/>
          <w:i/>
          <w:sz w:val="28"/>
          <w:szCs w:val="28"/>
        </w:rPr>
        <w:t xml:space="preserve"> </w:t>
      </w:r>
      <w:r w:rsidR="00E60ADB" w:rsidRPr="00E60ADB">
        <w:rPr>
          <w:rFonts w:asciiTheme="majorHAnsi" w:eastAsia="Times New Roman" w:hAnsiTheme="majorHAnsi" w:cs="Times New Roman"/>
          <w:i/>
          <w:sz w:val="28"/>
          <w:szCs w:val="28"/>
        </w:rPr>
        <w:t>la lumière se propage sous forme d'ondes électromagnétiques. Lorsqu'on reçoit de la lumière venant d'une source, on reçoit la plupart du temps une multitude d'ondes</w:t>
      </w:r>
      <w:r w:rsidR="00A6504E">
        <w:rPr>
          <w:rFonts w:asciiTheme="majorHAnsi" w:eastAsia="Times New Roman" w:hAnsiTheme="majorHAnsi" w:cs="Times New Roman"/>
          <w:i/>
          <w:sz w:val="28"/>
          <w:szCs w:val="28"/>
        </w:rPr>
        <w:t xml:space="preserve"> en même temps</w:t>
      </w:r>
      <w:r w:rsidR="00E60ADB" w:rsidRPr="00E60ADB">
        <w:rPr>
          <w:rFonts w:asciiTheme="majorHAnsi" w:eastAsia="Times New Roman" w:hAnsiTheme="majorHAnsi" w:cs="Times New Roman"/>
          <w:i/>
          <w:sz w:val="28"/>
          <w:szCs w:val="28"/>
        </w:rPr>
        <w:t>. Cha</w:t>
      </w:r>
      <w:r w:rsidR="00A6504E">
        <w:rPr>
          <w:rFonts w:asciiTheme="majorHAnsi" w:eastAsia="Times New Roman" w:hAnsiTheme="majorHAnsi" w:cs="Times New Roman"/>
          <w:i/>
          <w:sz w:val="28"/>
          <w:szCs w:val="28"/>
        </w:rPr>
        <w:t>cune de ces</w:t>
      </w:r>
      <w:r w:rsidR="00E60ADB" w:rsidRPr="00E60ADB">
        <w:rPr>
          <w:rFonts w:asciiTheme="majorHAnsi" w:eastAsia="Times New Roman" w:hAnsiTheme="majorHAnsi" w:cs="Times New Roman"/>
          <w:i/>
          <w:sz w:val="28"/>
          <w:szCs w:val="28"/>
        </w:rPr>
        <w:t xml:space="preserve"> onde</w:t>
      </w:r>
      <w:r w:rsidR="00A6504E">
        <w:rPr>
          <w:rFonts w:asciiTheme="majorHAnsi" w:eastAsia="Times New Roman" w:hAnsiTheme="majorHAnsi" w:cs="Times New Roman"/>
          <w:i/>
          <w:sz w:val="28"/>
          <w:szCs w:val="28"/>
        </w:rPr>
        <w:t>s</w:t>
      </w:r>
      <w:r w:rsidR="00E60ADB" w:rsidRPr="00E60ADB">
        <w:rPr>
          <w:rFonts w:asciiTheme="majorHAnsi" w:eastAsia="Times New Roman" w:hAnsiTheme="majorHAnsi" w:cs="Times New Roman"/>
          <w:i/>
          <w:sz w:val="28"/>
          <w:szCs w:val="28"/>
        </w:rPr>
        <w:t xml:space="preserve"> est caractérisée par sa longueur (qui correspond aussi à sa couleur) : on appelle cela la longueur d'onde. Une lumière blanche par exemple nous envoie des ondes dont les longueurs varient entre 400nm (le violet) et 800nm (le rouge). </w:t>
      </w:r>
      <w:r w:rsidR="00E60ADB" w:rsidRPr="00A6504E"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>Lorsque la lumière provient d'un corps chaud, il existe une longueur d'onde (une couleur) qui brille plus que les autres. On l'appelle la longueur d'onde d'intensité maximale</w: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Expérience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B56D10" w:rsidRDefault="00C517D7" w:rsidP="00C517D7">
      <w:pPr>
        <w:pStyle w:val="Paragraphedeliste"/>
        <w:numPr>
          <w:ilvl w:val="0"/>
          <w:numId w:val="2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Ouvrir l'animation sur le site </w:t>
      </w:r>
      <w:hyperlink r:id="rId9" w:history="1">
        <w:r w:rsidRPr="0058568C">
          <w:rPr>
            <w:rStyle w:val="Lienhypertexte"/>
            <w:rFonts w:asciiTheme="majorHAnsi" w:eastAsia="Times New Roman" w:hAnsiTheme="majorHAnsi" w:cs="Times New Roman"/>
            <w:sz w:val="28"/>
            <w:szCs w:val="28"/>
          </w:rPr>
          <w:t>https://www.jf-noblet.fr/noir2/noir3.htm</w:t>
        </w:r>
      </w:hyperlink>
      <w:r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</w:p>
    <w:p w:rsidR="00C517D7" w:rsidRDefault="00C517D7" w:rsidP="00B56D10">
      <w:pPr>
        <w:pStyle w:val="Paragraphedeliste"/>
        <w:numPr>
          <w:ilvl w:val="0"/>
          <w:numId w:val="2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Suivre rigoure</w:t>
      </w:r>
      <w:r w:rsidR="00597CBC">
        <w:rPr>
          <w:rFonts w:asciiTheme="majorHAnsi" w:eastAsia="Times New Roman" w:hAnsiTheme="majorHAnsi" w:cs="Times New Roman"/>
          <w:sz w:val="28"/>
          <w:szCs w:val="28"/>
        </w:rPr>
        <w:t>usement les consignes 1. à 3. données à gauche de la zone graphique.</w:t>
      </w:r>
    </w:p>
    <w:p w:rsidR="00B56D10" w:rsidRDefault="00597CBC" w:rsidP="00B56D10">
      <w:pPr>
        <w:pStyle w:val="Paragraphedeliste"/>
        <w:numPr>
          <w:ilvl w:val="0"/>
          <w:numId w:val="2"/>
        </w:num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Copier les valeurs du tableau et tracer sur Excel la courbe représentant l'évolution de la longueur d'onde d'intensité maximale en fonction de la température.</w: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lastRenderedPageBreak/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764DD1" w:rsidRPr="00597CBC" w:rsidRDefault="00597CBC" w:rsidP="00764DD1">
      <w:pPr>
        <w:pStyle w:val="Paragraphedeliste"/>
        <w:numPr>
          <w:ilvl w:val="0"/>
          <w:numId w:val="1"/>
        </w:num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Imprimer votre graphique et le décrire. </w:t>
      </w:r>
    </w:p>
    <w:p w:rsidR="00597CBC" w:rsidRPr="00764DD1" w:rsidRDefault="00597CBC" w:rsidP="00764DD1">
      <w:pPr>
        <w:pStyle w:val="Paragraphedeliste"/>
        <w:numPr>
          <w:ilvl w:val="0"/>
          <w:numId w:val="1"/>
        </w:num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La longueur d'onde maximale d'émission du Soleil est de 500 nm. Déterminer sa température de surface par une lecture graphique que vous mettrez en évidence. EN déduire à quel stade de sa vie se trouve notre Soleil.</w:t>
      </w:r>
    </w:p>
    <w:sectPr w:rsidR="00597CBC" w:rsidRPr="00764DD1" w:rsidSect="0044254F">
      <w:headerReference w:type="first" r:id="rId10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B4" w:rsidRDefault="00881AB4" w:rsidP="0044254F">
      <w:pPr>
        <w:spacing w:after="0" w:line="240" w:lineRule="auto"/>
      </w:pPr>
      <w:r>
        <w:separator/>
      </w:r>
    </w:p>
  </w:endnote>
  <w:endnote w:type="continuationSeparator" w:id="0">
    <w:p w:rsidR="00881AB4" w:rsidRDefault="00881AB4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B4" w:rsidRDefault="00881AB4" w:rsidP="0044254F">
      <w:pPr>
        <w:spacing w:after="0" w:line="240" w:lineRule="auto"/>
      </w:pPr>
      <w:r>
        <w:separator/>
      </w:r>
    </w:p>
  </w:footnote>
  <w:footnote w:type="continuationSeparator" w:id="0">
    <w:p w:rsidR="00881AB4" w:rsidRDefault="00881AB4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Pr="0044254F">
      <w:rPr>
        <w:rFonts w:asciiTheme="majorHAnsi" w:hAnsiTheme="majorHAnsi"/>
        <w:i/>
        <w:sz w:val="24"/>
      </w:rPr>
      <w:t>Le Soleil, notre source d'énergie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122C3E"/>
    <w:rsid w:val="003B23B8"/>
    <w:rsid w:val="0044254F"/>
    <w:rsid w:val="00597CBC"/>
    <w:rsid w:val="006829BC"/>
    <w:rsid w:val="00722071"/>
    <w:rsid w:val="00764DD1"/>
    <w:rsid w:val="0080333A"/>
    <w:rsid w:val="00860EBC"/>
    <w:rsid w:val="00881AB4"/>
    <w:rsid w:val="008D7363"/>
    <w:rsid w:val="009F16F7"/>
    <w:rsid w:val="00A6504E"/>
    <w:rsid w:val="00B56D10"/>
    <w:rsid w:val="00C517D7"/>
    <w:rsid w:val="00CD4EB3"/>
    <w:rsid w:val="00E5126B"/>
    <w:rsid w:val="00E60ADB"/>
    <w:rsid w:val="00F07DFE"/>
    <w:rsid w:val="00F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f-noblet.fr/noir2/noir3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5</cp:revision>
  <dcterms:created xsi:type="dcterms:W3CDTF">2023-08-28T11:51:00Z</dcterms:created>
  <dcterms:modified xsi:type="dcterms:W3CDTF">2023-08-29T06:57:00Z</dcterms:modified>
</cp:coreProperties>
</file>